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rPr>
          <w:rFonts w:hint="eastAsia" w:ascii="黑体" w:hAnsi="黑体" w:eastAsia="黑体"/>
          <w:sz w:val="28"/>
        </w:rPr>
      </w:pPr>
      <w:r>
        <w:rPr>
          <w:rFonts w:hint="eastAsia" w:ascii="黑体" w:hAnsi="黑体" w:eastAsia="黑体"/>
          <w:sz w:val="28"/>
        </w:rPr>
        <w:t>附件1</w:t>
      </w:r>
    </w:p>
    <w:p>
      <w:pPr>
        <w:adjustRightInd w:val="0"/>
        <w:snapToGrid w:val="0"/>
        <w:spacing w:beforeLines="0" w:afterLines="0" w:line="560" w:lineRule="exact"/>
        <w:jc w:val="center"/>
        <w:rPr>
          <w:rFonts w:hint="default" w:ascii="方正小标宋简体" w:hAnsi="黑体" w:eastAsia="方正小标宋简体"/>
          <w:sz w:val="36"/>
        </w:rPr>
      </w:pPr>
      <w:bookmarkStart w:id="0" w:name="_GoBack"/>
      <w:r>
        <w:rPr>
          <w:rFonts w:hint="eastAsia" w:ascii="方正小标宋简体" w:hAnsi="黑体" w:eastAsia="方正小标宋简体"/>
          <w:color w:val="000000"/>
          <w:kern w:val="0"/>
          <w:sz w:val="36"/>
        </w:rPr>
        <w:t>危险化学品攻坚行动督查检查内容及隐患排查表</w:t>
      </w:r>
    </w:p>
    <w:bookmarkEnd w:id="0"/>
    <w:p>
      <w:pPr>
        <w:spacing w:beforeLines="0" w:afterLines="0" w:line="240" w:lineRule="exact"/>
        <w:jc w:val="center"/>
        <w:rPr>
          <w:rFonts w:hint="default" w:ascii="华文中宋" w:hAnsi="华文中宋" w:eastAsia="华文中宋"/>
          <w:sz w:val="32"/>
        </w:rPr>
      </w:pPr>
    </w:p>
    <w:tbl>
      <w:tblPr>
        <w:tblStyle w:val="7"/>
        <w:tblW w:w="14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4385"/>
        <w:gridCol w:w="3968"/>
        <w:gridCol w:w="1701"/>
        <w:gridCol w:w="3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检查时间</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检查企业名称</w:t>
            </w:r>
          </w:p>
        </w:tc>
        <w:tc>
          <w:tcPr>
            <w:tcW w:w="548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序号</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检查重点内容</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存在问题或隐患</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整治期限</w:t>
            </w: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黑体" w:hAnsi="仿宋" w:eastAsia="黑体"/>
                <w:sz w:val="24"/>
              </w:rPr>
            </w:pPr>
            <w:r>
              <w:rPr>
                <w:rFonts w:hint="eastAsia" w:ascii="黑体" w:hAnsi="仿宋" w:eastAsia="黑体"/>
                <w:sz w:val="24"/>
              </w:rPr>
              <w:t>整改结果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458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楷体_GB2312" w:hAnsi="仿宋" w:eastAsia="楷体_GB2312"/>
                <w:sz w:val="28"/>
              </w:rPr>
            </w:pPr>
            <w:r>
              <w:rPr>
                <w:rFonts w:hint="eastAsia" w:ascii="楷体_GB2312" w:hAnsi="仿宋" w:eastAsia="楷体_GB2312"/>
                <w:sz w:val="28"/>
              </w:rPr>
              <w:t>人员和资质管理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仿宋_GB2312" w:hAnsi="仿宋" w:eastAsia="Times New Roman"/>
                <w:b/>
                <w:sz w:val="24"/>
              </w:rPr>
            </w:pPr>
            <w:r>
              <w:rPr>
                <w:rFonts w:hint="eastAsia" w:ascii="仿宋_GB2312" w:hAnsi="仿宋"/>
                <w:sz w:val="24"/>
              </w:rPr>
              <w:t>1</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b/>
                <w:sz w:val="24"/>
              </w:rPr>
            </w:pPr>
            <w:r>
              <w:rPr>
                <w:rFonts w:hint="eastAsia" w:ascii="仿宋_GB2312" w:hAnsi="仿宋"/>
                <w:sz w:val="24"/>
              </w:rPr>
              <w:t>企业危化品经营许可手续不齐全或不在有效期内的。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7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7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sz w:val="24"/>
              </w:rPr>
            </w:pPr>
            <w:r>
              <w:rPr>
                <w:rFonts w:hint="eastAsia" w:ascii="仿宋_GB2312" w:hAnsi="仿宋"/>
                <w:sz w:val="24"/>
              </w:rPr>
              <w:t>企业未依法明确主要负责人、分管负责人安全生产职责或主要负责人、分管负责人未依法履行其安全生产职责的。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3</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sz w:val="24"/>
              </w:rPr>
            </w:pPr>
            <w:r>
              <w:rPr>
                <w:rFonts w:hint="eastAsia" w:ascii="仿宋_GB2312" w:hAnsi="仿宋"/>
                <w:sz w:val="24"/>
              </w:rPr>
              <w:t>企业未设置安全生产管理机构或配备专职安全生产管理人员的。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sz w:val="24"/>
              </w:rPr>
            </w:pPr>
            <w:r>
              <w:rPr>
                <w:rFonts w:hint="eastAsia" w:ascii="仿宋_GB2312" w:hAnsi="仿宋"/>
                <w:sz w:val="24"/>
              </w:rPr>
              <w:t>企业的主要负责人、安全负责人及其他安全生产管理人员未按照规定经考核合格的。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5</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企业未对从业人员进行安全生产教育培训或者安排未经安全生产教育和培训合格的从业人员上岗作业的。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10" w:lineRule="exact"/>
              <w:rPr>
                <w:rFonts w:hint="default" w:ascii="仿宋_GB2312"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6</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从业人员对本岗位涉及的危险化学品危险特性不熟悉的。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default" w:ascii="仿宋_GB2312"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60" w:lineRule="exact"/>
              <w:rPr>
                <w:rFonts w:hint="default" w:ascii="仿宋_GB2312"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7</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特种作业人员未按照国家有关规定经专门的安全作业培训并取得相应资格上岗作业的。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8</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highlight w:val="yellow"/>
              </w:rPr>
            </w:pPr>
            <w:r>
              <w:rPr>
                <w:rFonts w:hint="eastAsia" w:ascii="仿宋_GB2312" w:hAnsi="仿宋"/>
                <w:sz w:val="24"/>
              </w:rPr>
              <w:t>选用不符合资质的承包商或未对承包商的安全生产工作统一协调、管理的。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ind w:firstLine="480" w:firstLineChars="200"/>
              <w:rPr>
                <w:rFonts w:hint="default" w:ascii="仿宋_GB2312"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80" w:lineRule="exact"/>
              <w:ind w:firstLine="480" w:firstLineChars="200"/>
              <w:rPr>
                <w:rFonts w:hint="default" w:ascii="仿宋_GB2312"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9</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jc w:val="left"/>
              <w:rPr>
                <w:rFonts w:hint="default" w:ascii="仿宋_GB2312" w:hAnsi="仿宋" w:eastAsia="Times New Roman"/>
                <w:sz w:val="24"/>
                <w:highlight w:val="yellow"/>
              </w:rPr>
            </w:pPr>
            <w:r>
              <w:rPr>
                <w:rFonts w:hint="eastAsia" w:ascii="仿宋_GB2312" w:hAnsi="仿宋"/>
                <w:sz w:val="24"/>
              </w:rPr>
              <w:t>将火种带入易燃易爆场所或存在脱岗、睡岗、酒后上岗行为的。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458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楷体_GB2312" w:hAnsi="仿宋" w:eastAsia="楷体_GB2312"/>
                <w:b/>
                <w:sz w:val="24"/>
              </w:rPr>
            </w:pPr>
            <w:r>
              <w:rPr>
                <w:rFonts w:hint="eastAsia" w:ascii="楷体_GB2312" w:hAnsi="仿宋" w:eastAsia="楷体_GB2312"/>
                <w:sz w:val="28"/>
              </w:rPr>
              <w:t>工艺管理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center"/>
              <w:rPr>
                <w:rFonts w:hint="eastAsia" w:ascii="仿宋_GB2312" w:hAnsi="仿宋"/>
                <w:sz w:val="24"/>
              </w:rPr>
            </w:pPr>
            <w:r>
              <w:rPr>
                <w:rFonts w:hint="eastAsia" w:ascii="仿宋_GB2312" w:hAnsi="仿宋"/>
                <w:sz w:val="24"/>
              </w:rPr>
              <w:t>10</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jc w:val="left"/>
              <w:rPr>
                <w:rFonts w:hint="default" w:ascii="仿宋_GB2312" w:hAnsi="仿宋" w:eastAsia="Times New Roman"/>
                <w:sz w:val="24"/>
              </w:rPr>
            </w:pPr>
            <w:r>
              <w:rPr>
                <w:rFonts w:hint="eastAsia" w:ascii="仿宋_GB2312" w:hAnsi="仿宋"/>
                <w:sz w:val="24"/>
              </w:rPr>
              <w:t>在役化工装置未经正规设计且未进行安全设计诊断的。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2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2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center"/>
              <w:rPr>
                <w:rFonts w:hint="eastAsia" w:ascii="仿宋_GB2312" w:hAnsi="仿宋"/>
                <w:sz w:val="24"/>
              </w:rPr>
            </w:pPr>
            <w:r>
              <w:rPr>
                <w:rFonts w:hint="eastAsia" w:ascii="仿宋_GB2312" w:hAnsi="仿宋"/>
                <w:sz w:val="24"/>
              </w:rPr>
              <w:t>11</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left"/>
              <w:rPr>
                <w:rFonts w:hint="default" w:ascii="仿宋_GB2312" w:hAnsi="仿宋" w:eastAsia="Times New Roman"/>
                <w:sz w:val="24"/>
              </w:rPr>
            </w:pPr>
            <w:r>
              <w:rPr>
                <w:rFonts w:hint="eastAsia" w:ascii="仿宋_GB2312" w:hAnsi="仿宋"/>
                <w:sz w:val="24"/>
              </w:rPr>
              <w:t>新开发的危险化学品生产工艺未经逐级放大试验到工业化生产或首次使用的化工工艺未经省级人民政府有关部门组织安全可靠性论证的。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left"/>
              <w:rPr>
                <w:rFonts w:hint="default" w:ascii="仿宋_GB2312" w:hAnsi="仿宋" w:eastAsia="Times New Roman"/>
                <w:sz w:val="22"/>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2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2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center"/>
              <w:rPr>
                <w:rFonts w:hint="eastAsia" w:ascii="仿宋_GB2312" w:hAnsi="仿宋"/>
                <w:sz w:val="24"/>
              </w:rPr>
            </w:pPr>
            <w:r>
              <w:rPr>
                <w:rFonts w:hint="eastAsia" w:ascii="仿宋_GB2312" w:hAnsi="仿宋"/>
                <w:sz w:val="24"/>
              </w:rPr>
              <w:t>12</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left"/>
              <w:rPr>
                <w:rFonts w:hint="default" w:ascii="仿宋_GB2312" w:hAnsi="仿宋" w:eastAsia="Times New Roman"/>
                <w:sz w:val="24"/>
              </w:rPr>
            </w:pPr>
            <w:r>
              <w:rPr>
                <w:rFonts w:hint="eastAsia" w:ascii="仿宋_GB2312" w:hAnsi="仿宋"/>
                <w:sz w:val="24"/>
              </w:rPr>
              <w:t>未按规定制定操作规程和工艺控制指标的。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2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2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13</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生产、储存装置及设施超温、超压、超液位运行的。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highlight w:val="yellow"/>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14</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在厂房、围堤、窨井等场所内设置有毒有害气体排放口且未采取有效防范措施的。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2"/>
              </w:rPr>
            </w:pPr>
          </w:p>
          <w:p>
            <w:pPr>
              <w:adjustRightInd w:val="0"/>
              <w:snapToGrid w:val="0"/>
              <w:spacing w:beforeLines="0" w:afterLines="0" w:line="280" w:lineRule="exact"/>
              <w:jc w:val="left"/>
              <w:rPr>
                <w:rFonts w:hint="default" w:ascii="仿宋_GB2312" w:hAnsi="仿宋" w:eastAsia="Times New Roman"/>
                <w:sz w:val="22"/>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15</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涉及液化烃、液氨、液氯、硫化氢等易燃易爆及有毒介质的安全阀及其他泄放设施直排大气的（环氧乙烷的排放应采取安全措施）。</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0"/>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90" w:lineRule="exact"/>
              <w:rPr>
                <w:rFonts w:hint="default" w:ascii="仿宋_GB2312"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290" w:lineRule="exact"/>
              <w:rPr>
                <w:rFonts w:hint="default" w:ascii="仿宋_GB2312"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16</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液化烃、液氨、液氯等易燃易爆、有毒有害液化气体的充装未使用万向节管道充装系统的。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0"/>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17</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浮顶储罐运行中浮盘落底的。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458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楷体_GB2312" w:hAnsi="仿宋" w:eastAsia="楷体_GB2312"/>
                <w:b/>
                <w:sz w:val="24"/>
              </w:rPr>
            </w:pPr>
            <w:r>
              <w:rPr>
                <w:rFonts w:hint="eastAsia" w:ascii="楷体_GB2312" w:hAnsi="仿宋" w:eastAsia="楷体_GB2312"/>
                <w:sz w:val="28"/>
              </w:rPr>
              <w:t>设备设施管理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18</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安全设备的安装、使用、检测、维修、改造和报废不符合国家标准或行业标准；或使用国家明令淘汰的危及生产安全的工艺、设备的。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19</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油气储罐未按规定达到以下要求的：</w:t>
            </w:r>
          </w:p>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（1）液化烃的储罐应设液位计、温度计、压力表、安全阀，以及高液位报警和高高液位自动连锁切断进料措施；全冷冻式液化烃储罐还应设真空泄放设施和高、低温度检测，并应与自动控制系统相联；</w:t>
            </w:r>
          </w:p>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（2）气柜应设上、下限位报警装置，并宜设进出管道自动联锁切断装置；</w:t>
            </w:r>
          </w:p>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（3）液化石油气球形储罐液相进出口应设置紧急切断阀，其位置宜靠近球形储罐；</w:t>
            </w:r>
          </w:p>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（4）丙烯、丙烷、混合C</w:t>
            </w:r>
            <w:r>
              <w:rPr>
                <w:rFonts w:hint="eastAsia" w:ascii="仿宋_GB2312" w:hAnsi="仿宋"/>
                <w:sz w:val="24"/>
                <w:vertAlign w:val="subscript"/>
              </w:rPr>
              <w:t>4</w:t>
            </w:r>
            <w:r>
              <w:rPr>
                <w:rFonts w:hint="eastAsia" w:ascii="仿宋_GB2312" w:hAnsi="仿宋"/>
                <w:sz w:val="24"/>
              </w:rPr>
              <w:t>、抽余C</w:t>
            </w:r>
            <w:r>
              <w:rPr>
                <w:rFonts w:hint="eastAsia" w:ascii="仿宋_GB2312" w:hAnsi="仿宋"/>
                <w:sz w:val="24"/>
                <w:vertAlign w:val="subscript"/>
              </w:rPr>
              <w:t>4</w:t>
            </w:r>
            <w:r>
              <w:rPr>
                <w:rFonts w:hint="eastAsia" w:ascii="仿宋_GB2312" w:hAnsi="仿宋"/>
                <w:sz w:val="24"/>
              </w:rPr>
              <w:t>及液化石油气的球形储罐应设置注水措施。</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20</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rPr>
                <w:rFonts w:hint="default" w:ascii="仿宋_GB2312" w:hAnsi="仿宋" w:eastAsia="Times New Roman"/>
                <w:sz w:val="32"/>
              </w:rPr>
            </w:pPr>
            <w:r>
              <w:rPr>
                <w:rFonts w:hint="eastAsia" w:ascii="仿宋_GB2312" w:hAnsi="仿宋_GB2312"/>
                <w:sz w:val="24"/>
              </w:rPr>
              <w:t>涉及危险化工工艺、重点监管危险化学品的装置未设置自动化控制系统；或者涉及危险化工工艺的大型化工装置未设置紧急停车系统的。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00" w:lineRule="exact"/>
              <w:jc w:val="both"/>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00" w:lineRule="exact"/>
              <w:jc w:val="both"/>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21</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有毒有害、可燃气体泄漏检测报警系统未按照标准设置、使用或定期检测校验；以及报警信号未发送至有操作人员常驻的控制室、现场操作室进行报警的。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22</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安全联锁未正常投用或未经审批摘除以及经审批后临时摘除超过一个月未恢复的。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23</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r>
              <w:rPr>
                <w:rFonts w:hint="eastAsia" w:ascii="仿宋_GB2312" w:hAnsi="仿宋"/>
                <w:sz w:val="24"/>
              </w:rPr>
              <w:t>工艺或安全仪表报警时未及时处置的。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90" w:lineRule="exact"/>
              <w:jc w:val="both"/>
              <w:rPr>
                <w:rFonts w:hint="default" w:ascii="仿宋_GB2312" w:hAnsi="仿宋" w:eastAsia="宋体"/>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90" w:lineRule="exact"/>
              <w:jc w:val="both"/>
              <w:rPr>
                <w:rFonts w:hint="default" w:ascii="仿宋_GB2312" w:hAnsi="仿宋"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24</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在用装置（设施）安全阀或泄压排放系统未正常投用的。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9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25</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涉及放热反应的危险化工工艺生产装置未设置双重电源供电或控制系统未设置不间断电源（UPS）的。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jc w:val="left"/>
              <w:rPr>
                <w:rFonts w:hint="default" w:ascii="仿宋_GB2312" w:hAnsi="仿宋" w:eastAsia="Times New Roman"/>
                <w:sz w:val="24"/>
                <w:highlight w:val="yellow"/>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458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楷体_GB2312" w:hAnsi="仿宋" w:eastAsia="楷体_GB2312"/>
                <w:b/>
                <w:sz w:val="24"/>
              </w:rPr>
            </w:pPr>
            <w:r>
              <w:rPr>
                <w:rFonts w:hint="eastAsia" w:ascii="楷体_GB2312" w:hAnsi="仿宋" w:eastAsia="楷体_GB2312"/>
                <w:sz w:val="28"/>
              </w:rPr>
              <w:t>日常安全管理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26</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未建立变更管理制度或未严格执行的。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27</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危险化学品生产装置、罐区、仓库等设施与周边的安全距离不符合要求的。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28</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控制室或机柜间面向具有火灾、爆炸危险性装置一侧有门窗的。（2017年前必须整改完成）</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29</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生产、经营、储存、使用危险化学品的车间、仓库与员工宿舍在同一座建筑内或与员工宿舍的距离不符合安全要求的。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5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30</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危险化学品未按照标准分区、分类、分库存放，或存在超量、超品种以及相互禁忌物质混放混存的。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31</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危险化学品厂际输送管道存在违章占压、安全距离不足和违规交叉穿越问题的。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32</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光气、氯气（液氯）等剧毒化学品管道穿（跨）越公共区域的。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0"/>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color w:val="FF0000"/>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60" w:lineRule="exact"/>
              <w:rPr>
                <w:rFonts w:hint="default" w:ascii="仿宋_GB2312" w:hAnsi="仿宋" w:eastAsia="Times New Roman"/>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default" w:ascii="仿宋_GB2312" w:hAnsi="仿宋" w:eastAsia="Times New Roman"/>
                <w:sz w:val="24"/>
              </w:rPr>
            </w:pPr>
            <w:r>
              <w:rPr>
                <w:rFonts w:hint="eastAsia" w:ascii="仿宋_GB2312" w:hAnsi="仿宋"/>
                <w:sz w:val="24"/>
              </w:rPr>
              <w:t>33</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r>
              <w:rPr>
                <w:rFonts w:hint="eastAsia" w:ascii="仿宋_GB2312" w:hAnsi="仿宋"/>
                <w:sz w:val="24"/>
              </w:rPr>
              <w:t>动火作业未按规定进行可燃气体分析；受限空间作业未按规定进行可燃气体、氧含量和有毒气体分析；以及作业过程无人监护的。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p>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60" w:lineRule="exact"/>
              <w:jc w:val="both"/>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60" w:lineRule="exact"/>
              <w:jc w:val="both"/>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default" w:ascii="仿宋_GB2312" w:hAnsi="仿宋" w:eastAsia="Times New Roman"/>
                <w:sz w:val="24"/>
              </w:rPr>
            </w:pPr>
            <w:r>
              <w:rPr>
                <w:rFonts w:hint="eastAsia" w:ascii="仿宋_GB2312" w:hAnsi="仿宋"/>
                <w:sz w:val="24"/>
              </w:rPr>
              <w:t>34</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r>
              <w:rPr>
                <w:rFonts w:hint="eastAsia" w:ascii="仿宋_GB2312" w:hAnsi="仿宋"/>
                <w:sz w:val="24"/>
              </w:rPr>
              <w:t>脱水、装卸、倒罐作业时，作业人员离开现场或油气罐区同一防火堤内切水和动火作业同时进行的。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00" w:lineRule="exact"/>
              <w:jc w:val="both"/>
              <w:rPr>
                <w:rFonts w:hint="default" w:ascii="仿宋_GB2312" w:hAnsi="仿宋" w:eastAsia="宋体"/>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00" w:lineRule="exact"/>
              <w:jc w:val="both"/>
              <w:rPr>
                <w:rFonts w:hint="default" w:ascii="仿宋_GB2312" w:hAnsi="仿宋"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eastAsia" w:ascii="仿宋_GB2312" w:hAnsi="仿宋"/>
                <w:sz w:val="24"/>
              </w:rPr>
            </w:pPr>
            <w:r>
              <w:rPr>
                <w:rFonts w:hint="eastAsia" w:ascii="仿宋_GB2312" w:hAnsi="仿宋"/>
                <w:sz w:val="24"/>
              </w:rPr>
              <w:t>35</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在有较大危险因素的生产经营场所和有关设施、设备上未设置明显的安全警示标志的。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eastAsia" w:ascii="仿宋_GB2312" w:hAnsi="仿宋"/>
                <w:sz w:val="24"/>
              </w:rPr>
            </w:pPr>
            <w:r>
              <w:rPr>
                <w:rFonts w:hint="eastAsia" w:ascii="仿宋_GB2312" w:hAnsi="仿宋"/>
                <w:sz w:val="24"/>
              </w:rPr>
              <w:t>36</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危险化学品生产企业未提供化学品安全技术说明书，未在包装（包括外包装件）上粘贴、拴挂化学品安全标签的。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center" w:pos="4153"/>
                <w:tab w:val="right" w:pos="8306"/>
              </w:tabs>
              <w:adjustRightInd w:val="0"/>
              <w:snapToGrid w:val="0"/>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eastAsia" w:ascii="仿宋_GB2312" w:hAnsi="仿宋"/>
                <w:sz w:val="24"/>
              </w:rPr>
            </w:pPr>
            <w:r>
              <w:rPr>
                <w:rFonts w:hint="eastAsia" w:ascii="仿宋_GB2312" w:hAnsi="仿宋"/>
                <w:sz w:val="24"/>
              </w:rPr>
              <w:t>37</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对重大危险源未登记建档，或者未进行评估、有效监控的。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0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default" w:ascii="仿宋_GB2312" w:hAnsi="仿宋" w:eastAsia="Times New Roman"/>
                <w:sz w:val="24"/>
              </w:rPr>
            </w:pPr>
            <w:r>
              <w:rPr>
                <w:rFonts w:hint="eastAsia" w:ascii="仿宋_GB2312" w:hAnsi="仿宋"/>
                <w:sz w:val="24"/>
              </w:rPr>
              <w:t>38</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r>
              <w:rPr>
                <w:rFonts w:hint="eastAsia" w:ascii="仿宋_GB2312" w:hAnsi="仿宋"/>
                <w:sz w:val="24"/>
              </w:rPr>
              <w:t>未对重大危险源的安全生产状况进行定期检查，采取措施消除事故隐患的。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left"/>
              <w:rPr>
                <w:rFonts w:hint="default" w:ascii="仿宋_GB2312" w:hAnsi="仿宋" w:eastAsia="Times New Roman"/>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jc w:val="center"/>
              <w:rPr>
                <w:rFonts w:hint="eastAsia" w:ascii="仿宋_GB2312" w:hAnsi="仿宋"/>
                <w:sz w:val="24"/>
              </w:rPr>
            </w:pPr>
            <w:r>
              <w:rPr>
                <w:rFonts w:hint="eastAsia" w:ascii="仿宋_GB2312" w:hAnsi="仿宋"/>
                <w:sz w:val="24"/>
              </w:rPr>
              <w:t>39</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r>
              <w:rPr>
                <w:rFonts w:hint="eastAsia" w:ascii="仿宋_GB2312" w:hAnsi="仿宋"/>
                <w:sz w:val="24"/>
              </w:rPr>
              <w:t>易燃易爆区域使用非防爆工具或电器的。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40" w:lineRule="exact"/>
              <w:jc w:val="both"/>
              <w:rPr>
                <w:rFonts w:hint="default" w:ascii="仿宋_GB2312" w:hAnsi="仿宋" w:eastAsia="宋体"/>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340" w:lineRule="exact"/>
              <w:jc w:val="both"/>
              <w:rPr>
                <w:rFonts w:hint="default" w:ascii="仿宋_GB2312" w:hAnsi="仿宋"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40</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Times New Roman"/>
                <w:sz w:val="24"/>
              </w:rPr>
            </w:pPr>
            <w:r>
              <w:rPr>
                <w:rFonts w:hint="eastAsia" w:ascii="仿宋_GB2312" w:hAnsi="仿宋"/>
                <w:sz w:val="24"/>
              </w:rPr>
              <w:t>未在存在有毒气体的区域配备便携式检测仪、空气呼吸器等器材和设备或者不能正确佩戴、使用个体防护用品和应急救援器材的。</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1458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default" w:ascii="仿宋_GB2312" w:hAnsi="仿宋" w:eastAsia="Times New Roman"/>
                <w:sz w:val="24"/>
              </w:rPr>
            </w:pPr>
            <w:r>
              <w:rPr>
                <w:rFonts w:hint="eastAsia" w:ascii="楷体_GB2312" w:hAnsi="仿宋" w:eastAsia="楷体_GB2312"/>
                <w:sz w:val="28"/>
              </w:rPr>
              <w:t>重大危险源安全管理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41</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r>
              <w:rPr>
                <w:rFonts w:hint="eastAsia" w:ascii="仿宋_GB2312" w:hAnsi="仿宋"/>
                <w:sz w:val="24"/>
              </w:rPr>
              <w:t>是否建立健全重大危险源安全管理制度</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42</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r>
              <w:rPr>
                <w:rFonts w:hint="eastAsia" w:ascii="仿宋_GB2312" w:hAnsi="仿宋"/>
                <w:sz w:val="24"/>
              </w:rPr>
              <w:t>对危险源运行情况是否实施全程动态监控，及时消除存在的隐患</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43</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r>
              <w:rPr>
                <w:rFonts w:hint="eastAsia" w:ascii="仿宋_GB2312" w:hAnsi="仿宋"/>
                <w:sz w:val="24"/>
              </w:rPr>
              <w:t>是否对重大危险源进行定期检测、评估</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sz w:val="24"/>
              </w:rPr>
            </w:pPr>
            <w:r>
              <w:rPr>
                <w:rFonts w:hint="eastAsia" w:ascii="仿宋_GB2312" w:hAnsi="仿宋"/>
                <w:sz w:val="24"/>
              </w:rPr>
              <w:t>44</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r>
              <w:rPr>
                <w:rFonts w:hint="eastAsia" w:ascii="仿宋_GB2312" w:hAnsi="仿宋"/>
                <w:sz w:val="24"/>
              </w:rPr>
              <w:t>是否制定了专项应急管理预案并组织开展演练。</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color w:val="000000"/>
                <w:sz w:val="24"/>
              </w:rPr>
            </w:pPr>
            <w:r>
              <w:rPr>
                <w:rFonts w:hint="eastAsia" w:ascii="仿宋_GB2312" w:hAnsi="仿宋"/>
                <w:color w:val="000000"/>
                <w:sz w:val="24"/>
              </w:rPr>
              <w:t>45</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color w:val="000000"/>
                <w:sz w:val="24"/>
              </w:rPr>
            </w:pPr>
            <w:r>
              <w:rPr>
                <w:rFonts w:hint="eastAsia" w:ascii="仿宋_GB2312" w:hAnsi="仿宋"/>
                <w:color w:val="000000"/>
                <w:sz w:val="24"/>
              </w:rPr>
              <w:t>是否进行风险分级管控和隐患排查治理双重预防机制</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jc w:val="center"/>
        </w:trPr>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280" w:lineRule="exact"/>
              <w:jc w:val="center"/>
              <w:rPr>
                <w:rFonts w:hint="eastAsia" w:ascii="仿宋_GB2312" w:hAnsi="仿宋"/>
                <w:color w:val="000000"/>
                <w:sz w:val="24"/>
              </w:rPr>
            </w:pPr>
            <w:r>
              <w:rPr>
                <w:rFonts w:hint="eastAsia" w:ascii="仿宋_GB2312" w:hAnsi="仿宋"/>
                <w:color w:val="000000"/>
                <w:sz w:val="24"/>
              </w:rPr>
              <w:t>46</w:t>
            </w:r>
          </w:p>
        </w:tc>
        <w:tc>
          <w:tcPr>
            <w:tcW w:w="438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color w:val="000000"/>
                <w:sz w:val="24"/>
              </w:rPr>
            </w:pPr>
            <w:r>
              <w:rPr>
                <w:rFonts w:hint="eastAsia" w:ascii="仿宋_GB2312" w:hAnsi="仿宋"/>
                <w:color w:val="000000"/>
                <w:sz w:val="24"/>
              </w:rPr>
              <w:t>是否创建安全生产标准化</w:t>
            </w:r>
          </w:p>
        </w:tc>
        <w:tc>
          <w:tcPr>
            <w:tcW w:w="396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4"/>
              <w:shd w:val="clear" w:color="auto" w:fill="FFFFFF"/>
              <w:adjustRightInd w:val="0"/>
              <w:snapToGrid w:val="0"/>
              <w:spacing w:before="0" w:beforeLines="0" w:after="0" w:afterLines="0" w:line="280" w:lineRule="exact"/>
              <w:rPr>
                <w:rFonts w:hint="default" w:ascii="仿宋_GB2312" w:hAnsi="仿宋" w:eastAsia="宋体"/>
                <w:sz w:val="24"/>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c>
          <w:tcPr>
            <w:tcW w:w="3784" w:type="dxa"/>
            <w:tcBorders>
              <w:top w:val="single" w:color="000000" w:sz="4" w:space="0"/>
              <w:left w:val="single" w:color="000000" w:sz="4" w:space="0"/>
              <w:bottom w:val="single" w:color="000000" w:sz="4" w:space="0"/>
              <w:right w:val="single" w:color="000000" w:sz="4" w:space="0"/>
              <w:tl2br w:val="nil"/>
              <w:tr2bl w:val="nil"/>
            </w:tcBorders>
            <w:vAlign w:val="center"/>
          </w:tcPr>
          <w:p>
            <w:pPr>
              <w:adjustRightInd w:val="0"/>
              <w:snapToGrid w:val="0"/>
              <w:spacing w:beforeLines="0" w:afterLines="0" w:line="340" w:lineRule="exact"/>
              <w:rPr>
                <w:rFonts w:hint="default" w:ascii="仿宋_GB2312" w:hAnsi="仿宋" w:eastAsia="Times New Roman"/>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BatangChe">
    <w:altName w:val="Malgun Gothic"/>
    <w:panose1 w:val="02030609000101010101"/>
    <w:charset w:val="81"/>
    <w:family w:val="modern"/>
    <w:pitch w:val="default"/>
    <w:sig w:usb0="00000000" w:usb1="00000000" w:usb2="00000000" w:usb3="00000000" w:csb0="0008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altName w:val="微软雅黑"/>
    <w:panose1 w:val="020106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0771D"/>
    <w:rsid w:val="707077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BatangChe" w:hAnsi="BatangChe" w:eastAsia="仿宋_GB2312"/>
      <w:kern w:val="2"/>
      <w:sz w:val="32"/>
      <w:szCs w:val="22"/>
      <w:lang w:val="en-US" w:eastAsia="zh-CN"/>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Lines="0" w:afterLines="0"/>
      <w:jc w:val="left"/>
    </w:pPr>
    <w:rPr>
      <w:rFonts w:hint="eastAsia"/>
      <w:sz w:val="18"/>
    </w:rPr>
  </w:style>
  <w:style w:type="paragraph" w:styleId="3">
    <w:name w:val="header"/>
    <w:basedOn w:val="1"/>
    <w:uiPriority w:val="0"/>
    <w:pPr>
      <w:tabs>
        <w:tab w:val="center" w:pos="4153"/>
        <w:tab w:val="right" w:pos="8306"/>
      </w:tabs>
      <w:snapToGrid w:val="0"/>
      <w:spacing w:beforeLines="0" w:afterLines="0"/>
    </w:pPr>
    <w:rPr>
      <w:rFonts w:hint="eastAsia"/>
      <w:sz w:val="18"/>
    </w:rPr>
  </w:style>
  <w:style w:type="paragraph" w:styleId="4">
    <w:name w:val="Normal (Web)"/>
    <w:basedOn w:val="1"/>
    <w:uiPriority w:val="0"/>
    <w:pPr>
      <w:widowControl/>
      <w:spacing w:before="100" w:beforeLines="0" w:beforeAutospacing="1" w:after="100" w:afterLines="0" w:afterAutospacing="1"/>
      <w:jc w:val="left"/>
    </w:pPr>
    <w:rPr>
      <w:rFonts w:hint="eastAsia" w:ascii="宋体" w:hAnsi="宋体"/>
      <w:sz w:val="24"/>
    </w:rPr>
  </w:style>
  <w:style w:type="character" w:styleId="6">
    <w:name w:val="page number"/>
    <w:basedOn w:val="5"/>
    <w:uiPriority w:val="0"/>
    <w:rPr>
      <w:rFonts w:hint="default" w:asci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2018-06-15T10:23:00Z</dcterms:created>
  <dc:creator>pc</dc:creator>
  <cp:lastModifiedBy>pc</cp:lastModifiedBy>
  <dcterms:modified xsi:type="dcterms:W3CDTF">2018-06-15T10:23:39Z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