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default" w:eastAsia="方正小标宋简体"/>
          <w:sz w:val="44"/>
        </w:rPr>
      </w:pPr>
      <w:r>
        <w:rPr>
          <w:rFonts w:hint="eastAsia" w:eastAsia="黑体"/>
          <w:sz w:val="32"/>
        </w:rPr>
        <w:t>附件</w:t>
      </w:r>
      <w:r>
        <w:rPr>
          <w:rFonts w:hint="eastAsia" w:eastAsia="BatangChe"/>
          <w:sz w:val="32"/>
        </w:rPr>
        <w:t>1</w:t>
      </w:r>
    </w:p>
    <w:p>
      <w:pPr>
        <w:spacing w:beforeLines="0" w:afterLines="0" w:line="560" w:lineRule="exact"/>
        <w:jc w:val="center"/>
        <w:rPr>
          <w:rFonts w:hint="default" w:eastAsia="方正小标宋简体"/>
          <w:sz w:val="44"/>
        </w:rPr>
      </w:pPr>
      <w:bookmarkStart w:id="0" w:name="_GoBack"/>
      <w:r>
        <w:rPr>
          <w:rFonts w:hint="eastAsia" w:eastAsia="方正小标宋简体"/>
          <w:sz w:val="44"/>
        </w:rPr>
        <w:t>省安委办第二督查组交办隐患清单</w:t>
      </w:r>
    </w:p>
    <w:bookmarkEnd w:id="0"/>
    <w:tbl>
      <w:tblPr>
        <w:tblStyle w:val="6"/>
        <w:tblpPr w:leftFromText="180" w:rightFromText="180" w:vertAnchor="text" w:horzAnchor="margin" w:tblpY="137"/>
        <w:tblW w:w="14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639"/>
        <w:gridCol w:w="2282"/>
        <w:gridCol w:w="6455"/>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sz w:val="28"/>
              </w:rPr>
            </w:pPr>
            <w:r>
              <w:rPr>
                <w:rFonts w:hint="eastAsia" w:eastAsia="黑体"/>
                <w:sz w:val="28"/>
              </w:rPr>
              <w:t>序</w:t>
            </w:r>
            <w:r>
              <w:rPr>
                <w:rFonts w:hint="eastAsia" w:hAnsi="黑体" w:eastAsia="黑体"/>
                <w:sz w:val="28"/>
              </w:rPr>
              <w:t>号</w:t>
            </w:r>
          </w:p>
        </w:tc>
        <w:tc>
          <w:tcPr>
            <w:tcW w:w="2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sz w:val="28"/>
              </w:rPr>
            </w:pPr>
            <w:r>
              <w:rPr>
                <w:rFonts w:hint="eastAsia" w:hAnsi="黑体" w:eastAsia="黑体"/>
                <w:sz w:val="28"/>
              </w:rPr>
              <w:t>隐</w:t>
            </w:r>
            <w:r>
              <w:rPr>
                <w:rFonts w:hint="eastAsia" w:eastAsia="黑体"/>
                <w:sz w:val="28"/>
              </w:rPr>
              <w:t>患治理</w:t>
            </w:r>
            <w:r>
              <w:rPr>
                <w:rFonts w:hint="eastAsia" w:hAnsi="黑体" w:eastAsia="黑体"/>
                <w:sz w:val="28"/>
              </w:rPr>
              <w:t>责</w:t>
            </w:r>
            <w:r>
              <w:rPr>
                <w:rFonts w:hint="eastAsia" w:eastAsia="黑体"/>
                <w:sz w:val="28"/>
              </w:rPr>
              <w:t>任</w:t>
            </w:r>
            <w:r>
              <w:rPr>
                <w:rFonts w:hint="eastAsia" w:hAnsi="黑体" w:eastAsia="黑体"/>
                <w:sz w:val="28"/>
              </w:rPr>
              <w:t>单</w:t>
            </w:r>
            <w:r>
              <w:rPr>
                <w:rFonts w:hint="eastAsia" w:eastAsia="黑体"/>
                <w:sz w:val="28"/>
              </w:rPr>
              <w:t>位</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sz w:val="28"/>
              </w:rPr>
            </w:pPr>
            <w:r>
              <w:rPr>
                <w:rFonts w:hint="eastAsia" w:hAnsi="黑体" w:eastAsia="黑体"/>
                <w:sz w:val="28"/>
              </w:rPr>
              <w:t>隐</w:t>
            </w:r>
            <w:r>
              <w:rPr>
                <w:rFonts w:hint="eastAsia" w:eastAsia="黑体"/>
                <w:sz w:val="28"/>
              </w:rPr>
              <w:t>患名</w:t>
            </w:r>
            <w:r>
              <w:rPr>
                <w:rFonts w:hint="eastAsia" w:hAnsi="黑体" w:eastAsia="黑体"/>
                <w:sz w:val="28"/>
              </w:rPr>
              <w:t>称</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sz w:val="28"/>
              </w:rPr>
            </w:pPr>
            <w:r>
              <w:rPr>
                <w:rFonts w:hint="eastAsia" w:hAnsi="黑体" w:eastAsia="黑体"/>
                <w:sz w:val="28"/>
              </w:rPr>
              <w:t>隐</w:t>
            </w:r>
            <w:r>
              <w:rPr>
                <w:rFonts w:hint="eastAsia" w:eastAsia="黑体"/>
                <w:sz w:val="28"/>
              </w:rPr>
              <w:t>患</w:t>
            </w:r>
            <w:r>
              <w:rPr>
                <w:rFonts w:hint="eastAsia" w:hAnsi="黑体" w:eastAsia="黑体"/>
                <w:sz w:val="28"/>
              </w:rPr>
              <w:t>内</w:t>
            </w:r>
            <w:r>
              <w:rPr>
                <w:rFonts w:hint="eastAsia" w:eastAsia="黑体"/>
                <w:sz w:val="28"/>
              </w:rPr>
              <w:t>容</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黑体"/>
                <w:sz w:val="28"/>
              </w:rPr>
            </w:pPr>
            <w:r>
              <w:rPr>
                <w:rFonts w:hint="eastAsia" w:eastAsia="黑体"/>
                <w:sz w:val="28"/>
              </w:rPr>
              <w:t>整改期限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w:t>
            </w:r>
          </w:p>
        </w:tc>
        <w:tc>
          <w:tcPr>
            <w:tcW w:w="2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杨凌示范区公安局交巡警支队</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督导检查不到位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督导检查不到位，未严格按照《道路交通安全攻坚行动督导检查工作方案》开展督导检查，缺少</w:t>
            </w:r>
            <w:r>
              <w:rPr>
                <w:rFonts w:hint="eastAsia" w:eastAsia="BatangChe"/>
                <w:color w:val="000000"/>
                <w:sz w:val="24"/>
              </w:rPr>
              <w:t>5</w:t>
            </w:r>
            <w:r>
              <w:rPr>
                <w:rFonts w:hint="eastAsia"/>
                <w:color w:val="000000"/>
                <w:sz w:val="24"/>
              </w:rPr>
              <w:t>月份检查记录。</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台账不健全</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隐患台账登记不规范，未落实隐患建立时间和整改时间，部分隐患整改未闭环管理。</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3</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督导检查不到位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对逾期未检验、逾期未报废的重点机动车和逾期未换证等重点驾驶员未持续跟踪督办，且未落实整改及安全教育措施。</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4</w:t>
            </w:r>
          </w:p>
        </w:tc>
        <w:tc>
          <w:tcPr>
            <w:tcW w:w="2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杨凌示范区发改局</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安排部署不到位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三项攻坚行动以来除参加相关部门组织的动员部署会外，未就长输管线的安全攻坚行动召开专门会议，未组织专项检查。</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5</w:t>
            </w:r>
          </w:p>
        </w:tc>
        <w:tc>
          <w:tcPr>
            <w:tcW w:w="2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杨陵区教育局</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杨陵区安委办</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责任落实不到位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杨陵区校车监管主体责任不明确，存在盲区，监管措施缺失。</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9</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6</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日常监管不到位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对私人购置的校车监管不到位，存在很大安全隐患。</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9</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7</w:t>
            </w:r>
          </w:p>
        </w:tc>
        <w:tc>
          <w:tcPr>
            <w:tcW w:w="2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杨凌汽车客运站</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杨陵区交通局</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安全制度落实不到位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杨凌汽车客运站车辆例检程序不规范，对例检不合格车辆未严格落实相关规定，台账登记不健全。</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8</w:t>
            </w:r>
          </w:p>
        </w:tc>
        <w:tc>
          <w:tcPr>
            <w:tcW w:w="2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杨凌迅达客运有限公司</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杨陵区交通局</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应急演练不规范</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安全管理制度及应急预案不健全，应急演练不规范。</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9</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培训不到位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驾驶员安全培训教育不到位，人员培训未做到全覆盖。</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10</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隐患台账不健全</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未认真落实隐患排查制度，隐患台账要素不齐全，登记不规范。</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11</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安全制度落实不到位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车辆动态监控制度执行不到位，部分违规行为未落实处罚措施。</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12</w:t>
            </w:r>
          </w:p>
        </w:tc>
        <w:tc>
          <w:tcPr>
            <w:tcW w:w="2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曹新庄村道路交通劝导站</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杨凌示范区公安局交巡警支队</w:t>
            </w:r>
          </w:p>
          <w:p>
            <w:pPr>
              <w:spacing w:beforeLines="0" w:afterLines="0" w:line="280" w:lineRule="exact"/>
              <w:jc w:val="center"/>
              <w:rPr>
                <w:rFonts w:hint="default" w:eastAsia="Times New Roman"/>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台账登记不完善</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台账登记不完善，未登记被劝导人员姓名等基本信息。</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13</w:t>
            </w:r>
          </w:p>
        </w:tc>
        <w:tc>
          <w:tcPr>
            <w:tcW w:w="2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陕西液化天然气公司</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杨凌示范区经贸安监局</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隐患排查不认真</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两个安全阀（</w:t>
            </w:r>
            <w:r>
              <w:rPr>
                <w:rFonts w:hint="eastAsia" w:eastAsia="BatangChe"/>
                <w:color w:val="000000"/>
                <w:sz w:val="24"/>
              </w:rPr>
              <w:t>K1401B</w:t>
            </w:r>
            <w:r>
              <w:rPr>
                <w:rFonts w:hint="eastAsia"/>
                <w:color w:val="000000"/>
                <w:sz w:val="24"/>
              </w:rPr>
              <w:t>）超过检验期。</w:t>
            </w:r>
          </w:p>
          <w:p>
            <w:pPr>
              <w:spacing w:beforeLines="0" w:afterLines="0" w:line="280" w:lineRule="exact"/>
              <w:rPr>
                <w:rFonts w:hint="default" w:eastAsia="Times New Roman"/>
                <w:color w:val="000000"/>
                <w:sz w:val="24"/>
              </w:rPr>
            </w:pP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p>
          <w:p>
            <w:pPr>
              <w:spacing w:beforeLines="0" w:afterLines="0" w:line="280" w:lineRule="exact"/>
              <w:jc w:val="center"/>
              <w:rPr>
                <w:rFonts w:hint="eastAsia" w:eastAsia="BatangChe"/>
                <w:color w:val="000000"/>
                <w:sz w:val="24"/>
              </w:rPr>
            </w:pPr>
            <w:r>
              <w:rPr>
                <w:rFonts w:hint="eastAsia" w:eastAsia="BatangChe"/>
                <w:color w:val="000000"/>
                <w:sz w:val="24"/>
              </w:rPr>
              <w:t>14</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厂区多处电缆槽连接处等电位连接线损坏。</w:t>
            </w:r>
          </w:p>
          <w:p>
            <w:pPr>
              <w:spacing w:beforeLines="0" w:afterLines="0" w:line="280" w:lineRule="exact"/>
              <w:rPr>
                <w:rFonts w:hint="default" w:eastAsia="Times New Roman"/>
                <w:color w:val="000000"/>
                <w:sz w:val="24"/>
              </w:rPr>
            </w:pP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15</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厂区外来施工人员防护服穿着不规范。</w:t>
            </w:r>
          </w:p>
          <w:p>
            <w:pPr>
              <w:spacing w:beforeLines="0" w:afterLines="0" w:line="280" w:lineRule="exact"/>
              <w:rPr>
                <w:rFonts w:hint="default" w:eastAsia="Times New Roman"/>
                <w:color w:val="000000"/>
                <w:sz w:val="24"/>
              </w:rPr>
            </w:pP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16</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隐患排查不认真</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特种设备台账中发现</w:t>
            </w:r>
            <w:r>
              <w:rPr>
                <w:rFonts w:hint="eastAsia" w:eastAsia="BatangChe"/>
                <w:color w:val="000000"/>
                <w:sz w:val="24"/>
              </w:rPr>
              <w:t>3</w:t>
            </w:r>
            <w:r>
              <w:rPr>
                <w:rFonts w:hint="eastAsia"/>
                <w:color w:val="000000"/>
                <w:sz w:val="24"/>
              </w:rPr>
              <w:t>台压力容器</w:t>
            </w:r>
            <w:r>
              <w:rPr>
                <w:rFonts w:hint="eastAsia" w:eastAsia="BatangChe"/>
                <w:color w:val="000000"/>
                <w:sz w:val="24"/>
              </w:rPr>
              <w:t>2018</w:t>
            </w:r>
            <w:r>
              <w:rPr>
                <w:rFonts w:hint="eastAsia"/>
                <w:color w:val="000000"/>
                <w:sz w:val="24"/>
              </w:rPr>
              <w:t>年</w:t>
            </w:r>
            <w:r>
              <w:rPr>
                <w:rFonts w:hint="eastAsia" w:eastAsia="BatangChe"/>
                <w:color w:val="000000"/>
                <w:sz w:val="24"/>
              </w:rPr>
              <w:t>4</w:t>
            </w:r>
            <w:r>
              <w:rPr>
                <w:rFonts w:hint="eastAsia"/>
                <w:color w:val="000000"/>
                <w:sz w:val="24"/>
              </w:rPr>
              <w:t>月到期未检验。</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17</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现场个别火灾报警器按钮松动。</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18</w:t>
            </w:r>
          </w:p>
        </w:tc>
        <w:tc>
          <w:tcPr>
            <w:tcW w:w="2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陕西秦丰农化有限公司</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杨凌示范区经贸安监局</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安全制度落实不到位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检修作业未执行公司作业票管理制度。</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19</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个别灭火器干粉带盘放不规范。</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20</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生产区部分电机未接地。</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21</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污水处理区安全警示告知牌位置不合理，未设置在醒目位置。</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22</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安全管理不到位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原料及产品销售运输安全责任不明确，也未签定安全协议。</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23</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安全管理不到位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安全生产目标责任书指标设置不合理，针对性不强。</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24</w:t>
            </w:r>
          </w:p>
        </w:tc>
        <w:tc>
          <w:tcPr>
            <w:tcW w:w="2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中石油杨凌销售分公司杨泉路加油站</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杨陵区安监局</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储油罐检查井、油泵井钢质井盖无防火花措施。</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25</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隐患排查不规范</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加油站日常检查表检查签字有缺项。</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26</w:t>
            </w:r>
          </w:p>
        </w:tc>
        <w:tc>
          <w:tcPr>
            <w:tcW w:w="2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现场管理不到位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站内醒目位置未设置“禁打手机”、“熄火加油”等警示标识、标志。</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27</w:t>
            </w:r>
          </w:p>
        </w:tc>
        <w:tc>
          <w:tcPr>
            <w:tcW w:w="2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杨凌天成科教化玻供应站</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杨陵区安监局</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安全管理不到位</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危险化学品购销运输没有明确安全责任，也未签定安全协议。</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7</w:t>
            </w:r>
            <w:r>
              <w:rPr>
                <w:rFonts w:hint="eastAsia"/>
                <w:color w:val="000000"/>
                <w:sz w:val="24"/>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eastAsia" w:eastAsia="BatangChe"/>
                <w:color w:val="000000"/>
                <w:sz w:val="24"/>
              </w:rPr>
            </w:pPr>
            <w:r>
              <w:rPr>
                <w:rFonts w:hint="eastAsia" w:eastAsia="BatangChe"/>
                <w:color w:val="000000"/>
                <w:sz w:val="24"/>
              </w:rPr>
              <w:t>28</w:t>
            </w:r>
          </w:p>
        </w:tc>
        <w:tc>
          <w:tcPr>
            <w:tcW w:w="2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杨陵秦虹气体有限公司</w:t>
            </w:r>
          </w:p>
          <w:p>
            <w:pPr>
              <w:spacing w:beforeLines="0" w:afterLines="0" w:line="280" w:lineRule="exact"/>
              <w:jc w:val="center"/>
              <w:rPr>
                <w:rFonts w:hint="default" w:eastAsia="Times New Roman"/>
                <w:color w:val="000000"/>
                <w:sz w:val="24"/>
              </w:rPr>
            </w:pPr>
          </w:p>
          <w:p>
            <w:pPr>
              <w:spacing w:beforeLines="0" w:afterLines="0" w:line="280" w:lineRule="exact"/>
              <w:jc w:val="center"/>
              <w:rPr>
                <w:rFonts w:hint="default" w:eastAsia="Times New Roman"/>
                <w:color w:val="000000"/>
                <w:sz w:val="24"/>
              </w:rPr>
            </w:pPr>
            <w:r>
              <w:rPr>
                <w:rFonts w:hint="eastAsia"/>
                <w:color w:val="000000"/>
                <w:sz w:val="24"/>
              </w:rPr>
              <w:t>杨陵区安委办</w:t>
            </w:r>
          </w:p>
        </w:tc>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color w:val="000000"/>
                <w:sz w:val="24"/>
              </w:rPr>
              <w:t>危化品经营企业搬迁</w:t>
            </w:r>
          </w:p>
        </w:tc>
        <w:tc>
          <w:tcPr>
            <w:tcW w:w="6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rPr>
                <w:rFonts w:hint="default" w:eastAsia="Times New Roman"/>
                <w:color w:val="000000"/>
                <w:sz w:val="24"/>
              </w:rPr>
            </w:pPr>
            <w:r>
              <w:rPr>
                <w:rFonts w:hint="eastAsia"/>
                <w:color w:val="000000"/>
                <w:sz w:val="24"/>
              </w:rPr>
              <w:t>杨陵秦虹气体有限公司搬迁。</w:t>
            </w: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80" w:lineRule="exact"/>
              <w:jc w:val="center"/>
              <w:rPr>
                <w:rFonts w:hint="default" w:eastAsia="Times New Roman"/>
                <w:color w:val="000000"/>
                <w:sz w:val="24"/>
              </w:rPr>
            </w:pPr>
            <w:r>
              <w:rPr>
                <w:rFonts w:hint="eastAsia" w:eastAsia="BatangChe"/>
                <w:color w:val="000000"/>
                <w:sz w:val="24"/>
              </w:rPr>
              <w:t>2018</w:t>
            </w:r>
            <w:r>
              <w:rPr>
                <w:rFonts w:hint="eastAsia"/>
                <w:color w:val="000000"/>
                <w:sz w:val="24"/>
              </w:rPr>
              <w:t>年</w:t>
            </w:r>
            <w:r>
              <w:rPr>
                <w:rFonts w:hint="eastAsia" w:eastAsia="BatangChe"/>
                <w:color w:val="000000"/>
                <w:sz w:val="24"/>
              </w:rPr>
              <w:t>9</w:t>
            </w:r>
            <w:r>
              <w:rPr>
                <w:rFonts w:hint="eastAsia"/>
                <w:color w:val="000000"/>
                <w:sz w:val="24"/>
              </w:rPr>
              <w:t>月底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41B97"/>
    <w:rsid w:val="05045997"/>
    <w:rsid w:val="34641B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BatangChe" w:hAnsi="BatangChe" w:eastAsia="仿宋_GB2312" w:cs="Times New Roman"/>
      <w:kern w:val="2"/>
      <w:sz w:val="32"/>
      <w:lang w:val="en-US" w:eastAsia="zh-CN"/>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3">
    <w:name w:val="header"/>
    <w:basedOn w:val="1"/>
    <w:unhideWhenUsed/>
    <w:qFormat/>
    <w:uiPriority w:val="99"/>
    <w:pPr>
      <w:tabs>
        <w:tab w:val="center" w:pos="4153"/>
        <w:tab w:val="right" w:pos="8306"/>
      </w:tabs>
      <w:snapToGrid w:val="0"/>
      <w:spacing w:beforeLines="0" w:afterLines="0"/>
    </w:pPr>
    <w:rPr>
      <w:rFonts w:hint="eastAsia"/>
      <w:sz w:val="18"/>
    </w:rPr>
  </w:style>
  <w:style w:type="character" w:styleId="5">
    <w:name w:val="page number"/>
    <w:basedOn w:val="4"/>
    <w:unhideWhenUsed/>
    <w:qFormat/>
    <w:uiPriority w:val="99"/>
    <w:rPr>
      <w:rFonts w:hint="eastAsia" w:ascii="Times New Roman" w:hAnsi="Times New Roman"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2018-08-14T03:18:00Z</dcterms:created>
  <dc:creator>Administrator</dc:creator>
  <cp:lastModifiedBy>Administrator</cp:lastModifiedBy>
  <dcterms:modified xsi:type="dcterms:W3CDTF">2018-08-14T03:19:14Z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